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Perspektywy rynku luksusowych rezydencji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zarobków oraz poprawa poziomu życia sprawia, że rynek dóbr luksusowych w Polsce rośnie z roku na rok. Jak pokazują badania KPMG jedną z najszybciej rozwijających się branż w tym segmencie są nieruchomości, których rynek wg prognoz wzrośnie o ok. 23% do 2017 roku i osiągnie aż 1,348 mld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zauważyć, że podobnie jak cały rynek dóbr luksusowych tak i rynek najdroższych nieruchomości w Polsce w porównaniu do państw zachodnich znajduje się jeszcze w fazie rozwoju. Fakt ten spowodowany jest przede wszystkim niższym stopniem zamożności społeczeństwa, ale również stosunkowo niewielką podażą.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nieruchomość można było określić mianem luksusowej należy wziąć pod uwagę cały szereg różnorodnych czynników, wśród których najważniejsze to prestiżowa lokalizacja, wyjątkowa architektura, bogate wyposażenie i cena, która jest w większości pochodną wszystkich innych czynników. W zestawieniach najczęściej bierze się jednak pod uwagę kryterium ceny, dlatego na świecie przyjmuje się, że wartość luksusowej nieruchomość zaczyna się od miliona dolarów, a w Polsce od miliona złotych.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Luksusowa rezydencja na sprzedaż niedaleko Bydgoszczy o wartości 17 mln zł.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foto. Re/Max Gold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Najwięcej nieruchomości luksusowych znajduje się w okolicy takich ośrodków jak Warszawa, Kraków, Wrocław, Poznań, Trójmiasto czy Katowice, czyli w miejscach w których znajdują się główne siedziby największych firm i koncernów. Należy pamiętać, że w innych częściach Polski też możemy znaleźć prawdziwe perełki w formie dworków czy zameczków o wartości przekraczającej kilkanaście milionów złotych</w:t>
      </w:r>
      <w:r>
        <w:rPr>
          <w:rFonts w:ascii="calibri" w:hAnsi="calibri" w:eastAsia="calibri" w:cs="calibri"/>
          <w:sz w:val="24"/>
          <w:szCs w:val="24"/>
        </w:rPr>
        <w:t xml:space="preserve"> – analizuje Marta Kulawik, właścicielka katowickiego biura nieruchomości Re/Max Gold.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Nieruchomość luksusowa z jednej strony pełni funkcję mieszkaniową, a z drugiej, podobnie jak inne dobra luksusowe, podkreśla wysoki status społeczny właściciela. Bardzo często zdarza się, że osoby posiadają kilka drogich nieruchomości w różnych lokalizacjach. W zależności od lokalizacji mogą one pełnić funkcję wakacyjnej rezydencji, czy apartamentu w centrum miasta spełniającego rolę hotelu dla właściciela i rodziny. W wielu przypadkach zakup nieruchomości luksusowych traktowany jest jako bardzo dobra inwestycja lub lokata kapitału.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Rocznie na rynku pierwotnym kupowanych jest ok. 200 nieruchomości luksusowych o wartości ok. 500 mln zł, z czego ok. 90% stanowią apartamenty, a tylko 10% rezydencje. Na rynku wtórnym wartość transakcji szacuje się z kolei na ok. 0,8-1 mld. zł, ale w rzeczywistości kwota ta może być dużo wyższa, ponieważ wiele transakcji, szczególnie tych o największej wartości, na życzenie klientów odbywa się w tajemnicy</w:t>
      </w:r>
      <w:r>
        <w:rPr>
          <w:rFonts w:ascii="calibri" w:hAnsi="calibri" w:eastAsia="calibri" w:cs="calibri"/>
          <w:sz w:val="24"/>
          <w:szCs w:val="24"/>
        </w:rPr>
        <w:t xml:space="preserve"> – dodaje Marta Kulawik.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Prognozy rynku luksusowych nieruchomości są bardzo optymistyczne ze względu na rosnącą podaż jak i popyt, który generuje przede wszystkim rosnąca z roku na rok liczba milionerów w Polsce. Tylko w latach 2012-2014 liczba Polaków o płynnych aktywach przekraczających milion dolarów wzrosła o ponad 31,5% przekraczając 50 tys. osób. Biorąc pod uwagę, że aż 84% osób z tej grupy posiada przynajmniej jedną luksusową nieruchomość, a 9% deklaruje zakup przynajmniej jednej rocznie, możemy stwierdzić, że zainteresowanie tą kategorią dóbr luksusowych będzie coraz większe.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1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Kulawik – ekspert rynku nieruchomości, Menadżer Biura Nieruchomości Re/Max Gold w Katowicach posiadająca najwyższy „Certyfikat Eksperta na rynku nieruchomości” firmy Re/Max przyznawany za ponadprzeciętną wiedzę branżową oraz wybitne osiągnięcia w obrocie nieruchomościami. Re/Max działa na rynku nieruchomości już od 40 lat stając się największą agencją obrotu nieruchomościami na świecie, która posiadają swoje odziały w ponad 100 krajach i współpracuje z ponad 100 tys. agentów.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2026-09-17T19:37:00+02:00</dcterms:created>
  <dcterms:modified xsi:type="dcterms:W3CDTF">2026-09-17T19:37:00+02:00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