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Perspektywy rynku luksusowych rezydencji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zarobków oraz poprawa poziomu życia sprawia, że rynek dóbr luksusowych w Polsce rośnie z roku na rok. Jak pokazują badania KPMG jedną z najszybciej rozwijających się branż w tym segmencie są nieruchomości, których rynek wg prognoz wzrośnie o ok. 23% do 2017 roku i osiągnie aż 1,348 mld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podobnie jak cały rynek dóbr luksusowych tak i rynek najdroższych nieruchomości w Polsce w porównaniu do państw zachodnich znajduje się jeszcze w fazie rozwoju. Fakt ten spowodowany jest przede wszystkim niższym stopniem zamożności społeczeństwa, ale również stosunkowo niewielką podażą.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nieruchomość można było określić mianem luksusowej należy wziąć pod uwagę cały szereg różnorodnych czynników, wśród których najważniejsze to prestiżowa lokalizacja, wyjątkowa architektura, bogate wyposażenie i cena, która jest w większości pochodną wszystkich innych czynników. W zestawieniach najczęściej bierze się jednak pod uwagę kryterium ceny, dlatego na świecie przyjmuje się, że wartość luksusowej nieruchomość zaczyna się od miliona dolarów, a w Polsce od miliona złotych.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Luksusowa rezydencja na sprzedaż niedaleko Bydgoszczy o wartości 17 mln zł.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foto. Re/Max Gold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Najwięcej nieruchomości luksusowych znajduje się w okolicy takich ośrodków jak Warszawa, Kraków, Wrocław, Poznań, Trójmiasto czy Katowice, czyli w miejscach w których znajdują się główne siedziby największych firm i koncernów. Należy pamiętać, że w innych częściach Polski też możemy znaleźć prawdziwe perełki w formie dworków czy zameczków o wartości przekraczającej kilkanaście milionów złotych</w:t>
      </w:r>
      <w:r>
        <w:rPr>
          <w:rFonts w:ascii="calibri" w:hAnsi="calibri" w:eastAsia="calibri" w:cs="calibri"/>
          <w:sz w:val="24"/>
          <w:szCs w:val="24"/>
        </w:rPr>
        <w:t xml:space="preserve"> – analizuje Marta Kulawik, właścicielka katowickiego biura nieruchomości Re/Max Gold.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Nieruchomość luksusowa z jednej strony pełni funkcję mieszkaniową, a z drugiej, podobnie jak inne dobra luksusowe, podkreśla wysoki status społeczny właściciela. Bardzo często zdarza się, że osoby posiadają kilka drogich nieruchomości w różnych lokalizacjach. W zależności od lokalizacji mogą one pełnić funkcję wakacyjnej rezydencji, czy apartamentu w centrum miasta spełniającego rolę hotelu dla właściciela i rodziny. W wielu przypadkach zakup nieruchomości luksusowych traktowany jest jako bardzo dobra inwestycja lub lokata kapitału.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Rocznie na rynku pierwotnym kupowanych jest ok. 200 nieruchomości luksusowych o wartości ok. 500 mln zł, z czego ok. 90% stanowią apartamenty, a tylko 10% rezydencje. Na rynku wtórnym wartość transakcji szacuje się z kolei na ok. 0,8-1 mld. zł, ale w rzeczywistości kwota ta może być dużo wyższa, ponieważ wiele transakcji, szczególnie tych o największej wartości, na życzenie klientów odbywa się w tajemnicy</w:t>
      </w:r>
      <w:r>
        <w:rPr>
          <w:rFonts w:ascii="calibri" w:hAnsi="calibri" w:eastAsia="calibri" w:cs="calibri"/>
          <w:sz w:val="24"/>
          <w:szCs w:val="24"/>
        </w:rPr>
        <w:t xml:space="preserve"> – dodaje Marta Kulawik.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Prognozy rynku luksusowych nieruchomości są bardzo optymistyczne ze względu na rosnącą podaż jak i popyt, który generuje przede wszystkim rosnąca z roku na rok liczba milionerów w Polsce. Tylko w latach 2012-2014 liczba Polaków o płynnych aktywach przekraczających milion dolarów wzrosła o ponad 31,5% przekraczając 50 tys. osób. Biorąc pod uwagę, że aż 84% osób z tej grupy posiada przynajmniej jedną luksusową nieruchomość, a 9% deklaruje zakup przynajmniej jednej rocznie, możemy stwierdzić, że zainteresowanie tą kategorią dóbr luksusowych będzie coraz większe.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1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Kulawik – ekspert rynku nieruchomości, Menadżer Biura Nieruchomości Re/Max Gold w Katowicach posiadająca najwyższy „Certyfikat Eksperta na rynku nieruchomości” firmy Re/Max przyznawany za ponadprzeciętną wiedzę branżową oraz wybitne osiągnięcia w obrocie nieruchomościami. Re/Max działa na rynku nieruchomości już od 40 lat stając się największą agencją obrotu nieruchomościami na świecie, która posiadają swoje odziały w ponad 100 krajach i współpracuje z ponad 100 tys. agentów.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2025-12-16T07:19:08+01:00</dcterms:created>
  <dcterms:modified xsi:type="dcterms:W3CDTF">2025-12-16T07:19:08+01:00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