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Perspektywy rynku luksusowych rezydencji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zarobków oraz poprawa poziomu życia sprawia, że rynek dóbr luksusowych w Polsce rośnie z roku na rok. Jak pokazują badania KPMG jedną z najszybciej rozwijających się branż w tym segmencie są nieruchomości, których rynek wg prognoz wzrośnie o ok. 23% do 2017 roku i osiągnie aż 1,348 mld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podobnie jak cały rynek dóbr luksusowych tak i rynek najdroższych nieruchomości w Polsce w porównaniu do państw zachodnich znajduje się jeszcze w fazie rozwoju. Fakt ten spowodowany jest przede wszystkim niższym stopniem zamożności społeczeństwa, ale również stosunkowo niewielką podażą.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nieruchomość można było określić mianem luksusowej należy wziąć pod uwagę cały szereg różnorodnych czynników, wśród których najważniejsze to prestiżowa lokalizacja, wyjątkowa architektura, bogate wyposażenie i cena, która jest w większości pochodną wszystkich innych czynników. W zestawieniach najczęściej bierze się jednak pod uwagę kryterium ceny, dlatego na świecie przyjmuje się, że wartość luksusowej nieruchomość zaczyna się od miliona dolarów, a w Polsce od miliona złotych.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Luksusowa rezydencja na sprzedaż niedaleko Bydgoszczy o wartości 17 mln zł.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foto. Re/Max Gold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Najwięcej nieruchomości luksusowych znajduje się w okolicy takich ośrodków jak Warszawa, Kraków, Wrocław, Poznań, Trójmiasto czy Katowice, czyli w miejscach w których znajdują się główne siedziby największych firm i koncernów. Należy pamiętać, że w innych częściach Polski też możemy znaleźć prawdziwe perełki w formie dworków czy zameczków o wartości przekraczającej kilkanaście milionów złotych</w:t>
      </w:r>
      <w:r>
        <w:rPr>
          <w:rFonts w:ascii="calibri" w:hAnsi="calibri" w:eastAsia="calibri" w:cs="calibri"/>
          <w:sz w:val="24"/>
          <w:szCs w:val="24"/>
        </w:rPr>
        <w:t xml:space="preserve"> – analizuje Marta Kulawik, właścicielka katowickiego biura nieruchomości Re/Max Gold.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Nieruchomość luksusowa z jednej strony pełni funkcję mieszkaniową, a z drugiej, podobnie jak inne dobra luksusowe, podkreśla wysoki status społeczny właściciela. Bardzo często zdarza się, że osoby posiadają kilka drogich nieruchomości w różnych lokalizacjach. W zależności od lokalizacji mogą one pełnić funkcję wakacyjnej rezydencji, czy apartamentu w centrum miasta spełniającego rolę hotelu dla właściciela i rodziny. W wielu przypadkach zakup nieruchomości luksusowych traktowany jest jako bardzo dobra inwestycja lub lokata kapitału.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Rocznie na rynku pierwotnym kupowanych jest ok. 200 nieruchomości luksusowych o wartości ok. 500 mln zł, z czego ok. 90% stanowią apartamenty, a tylko 10% rezydencje. Na rynku wtórnym wartość transakcji szacuje się z kolei na ok. 0,8-1 mld. zł, ale w rzeczywistości kwota ta może być dużo wyższa, ponieważ wiele transakcji, szczególnie tych o największej wartości, na życzenie klientów odbywa się w tajemnicy</w:t>
      </w:r>
      <w:r>
        <w:rPr>
          <w:rFonts w:ascii="calibri" w:hAnsi="calibri" w:eastAsia="calibri" w:cs="calibri"/>
          <w:sz w:val="24"/>
          <w:szCs w:val="24"/>
        </w:rPr>
        <w:t xml:space="preserve"> – dodaje Marta Kulawik.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rynku luksusowych nieruchomości są bardzo optymistyczne ze względu na rosnącą podaż jak i popyt, który generuje przede wszystkim rosnąca z roku na rok liczba milionerów w Polsce. Tylko w latach 2012-2014 liczba Polaków o płynnych aktywach przekraczających milion dolarów wzrosła o ponad 31,5% przekraczając 50 tys. osób. Biorąc pod uwagę, że aż 84% osób z tej grupy posiada przynajmniej jedną luksusową nieruchomość, a 9% deklaruje zakup przynajmniej jednej rocznie, możemy stwierdzić, że zainteresowanie tą kategorią dóbr luksusowych będzie coraz większe.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1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Kulawik – ekspert rynku nieruchomości, Menadżer Biura Nieruchomości Re/Max Gold w Katowicach posiadająca najwyższy „Certyfikat Eksperta na rynku nieruchomości” firmy Re/Max przyznawany za ponadprzeciętną wiedzę branżową oraz wybitne osiągnięcia w obrocie nieruchomościami. Re/Max działa na rynku nieruchomości już od 40 lat stając się największą agencją obrotu nieruchomościami na świecie, która posiadają swoje odziały w ponad 100 krajach i współpracuje z ponad 100 tys. agentów.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2026-11-03T00:29:27+01:00</dcterms:created>
  <dcterms:modified xsi:type="dcterms:W3CDTF">2026-11-03T00:29:27+01:00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